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4744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4E75BC">
        <w:rPr>
          <w:rFonts w:asciiTheme="majorHAnsi" w:hAnsiTheme="majorHAnsi" w:cstheme="majorHAnsi"/>
          <w:b/>
          <w:sz w:val="28"/>
          <w:szCs w:val="28"/>
        </w:rPr>
        <w:t>Договор ответственного хранения грузов № ____________</w:t>
      </w:r>
    </w:p>
    <w:p w14:paraId="0E8C34A3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33CC1181" w14:textId="0BF46955" w:rsidR="004E75BC" w:rsidRPr="004E75BC" w:rsidRDefault="004E75BC" w:rsidP="004E75BC">
      <w:pPr>
        <w:spacing w:line="240" w:lineRule="auto"/>
        <w:rPr>
          <w:rFonts w:asciiTheme="majorHAnsi" w:hAnsiTheme="majorHAnsi" w:cstheme="majorHAnsi"/>
          <w:b/>
          <w:color w:val="585858"/>
          <w:sz w:val="28"/>
          <w:szCs w:val="28"/>
        </w:rPr>
      </w:pP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t xml:space="preserve">Москва                                                                 </w: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t xml:space="preserve">               </w:t>
      </w:r>
      <w:r>
        <w:rPr>
          <w:rFonts w:asciiTheme="majorHAnsi" w:hAnsiTheme="majorHAnsi" w:cstheme="majorHAnsi"/>
          <w:b/>
          <w:color w:val="585858"/>
          <w:sz w:val="28"/>
          <w:szCs w:val="28"/>
          <w:lang w:val="en-US"/>
        </w:rPr>
        <w:t xml:space="preserve"> </w: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t xml:space="preserve">         </w: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t xml:space="preserve">                </w: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fldChar w:fldCharType="begin"/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instrText xml:space="preserve"> DATE  \@ "d MMMM yyyy 'г.'"  \* MERGEFORMAT </w:instrTex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fldChar w:fldCharType="separate"/>
      </w:r>
      <w:r w:rsidRPr="004E75BC">
        <w:rPr>
          <w:rFonts w:asciiTheme="majorHAnsi" w:hAnsiTheme="majorHAnsi" w:cstheme="majorHAnsi"/>
          <w:b/>
          <w:noProof/>
          <w:color w:val="585858"/>
          <w:sz w:val="28"/>
          <w:szCs w:val="28"/>
        </w:rPr>
        <w:t>24 марта 2023 г.</w:t>
      </w:r>
      <w:r w:rsidRPr="004E75BC">
        <w:rPr>
          <w:rFonts w:asciiTheme="majorHAnsi" w:hAnsiTheme="majorHAnsi" w:cstheme="majorHAnsi"/>
          <w:b/>
          <w:color w:val="585858"/>
          <w:sz w:val="28"/>
          <w:szCs w:val="28"/>
        </w:rPr>
        <w:fldChar w:fldCharType="end"/>
      </w:r>
    </w:p>
    <w:p w14:paraId="1AB02DBC" w14:textId="77777777" w:rsidR="004E75BC" w:rsidRPr="004E75BC" w:rsidRDefault="004E75BC" w:rsidP="004E75BC">
      <w:pPr>
        <w:spacing w:line="240" w:lineRule="auto"/>
        <w:ind w:firstLine="540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  <w:b/>
        </w:rPr>
        <w:t>ООО «Альба Марена»</w:t>
      </w:r>
      <w:r w:rsidRPr="004E75BC">
        <w:rPr>
          <w:rFonts w:asciiTheme="majorHAnsi" w:hAnsiTheme="majorHAnsi" w:cstheme="majorHAnsi"/>
        </w:rPr>
        <w:t xml:space="preserve">, именуемое в дальнейшем </w:t>
      </w:r>
      <w:r w:rsidRPr="004E75BC">
        <w:rPr>
          <w:rFonts w:asciiTheme="majorHAnsi" w:hAnsiTheme="majorHAnsi" w:cstheme="majorHAnsi"/>
          <w:b/>
        </w:rPr>
        <w:t>«Хранитель»</w:t>
      </w:r>
      <w:r w:rsidRPr="004E75BC">
        <w:rPr>
          <w:rFonts w:asciiTheme="majorHAnsi" w:hAnsiTheme="majorHAnsi" w:cstheme="majorHAnsi"/>
        </w:rPr>
        <w:t xml:space="preserve">, в лице Генерального директора Семенова Олега Сергеевича, действующего на основании Устава, с одной стороны и   __________, именуемое в дальнейшем </w:t>
      </w:r>
      <w:r w:rsidRPr="004E75BC">
        <w:rPr>
          <w:rFonts w:asciiTheme="majorHAnsi" w:hAnsiTheme="majorHAnsi" w:cstheme="majorHAnsi"/>
          <w:b/>
        </w:rPr>
        <w:t>«Поклажедатель»</w:t>
      </w:r>
      <w:r w:rsidRPr="004E75BC">
        <w:rPr>
          <w:rFonts w:asciiTheme="majorHAnsi" w:hAnsiTheme="majorHAnsi" w:cstheme="majorHAnsi"/>
        </w:rPr>
        <w:t>, в лице ___________________________________,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14:paraId="3160A805" w14:textId="77777777" w:rsidR="004E75BC" w:rsidRPr="004E75BC" w:rsidRDefault="004E75BC" w:rsidP="004E75BC">
      <w:pPr>
        <w:numPr>
          <w:ilvl w:val="0"/>
          <w:numId w:val="28"/>
        </w:num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Предмет Договора</w:t>
      </w:r>
    </w:p>
    <w:p w14:paraId="3D8F8505" w14:textId="77777777" w:rsidR="004E75BC" w:rsidRDefault="004E75BC" w:rsidP="004E75BC">
      <w:pPr>
        <w:numPr>
          <w:ilvl w:val="1"/>
          <w:numId w:val="28"/>
        </w:numPr>
        <w:tabs>
          <w:tab w:val="num" w:pos="0"/>
        </w:tabs>
        <w:spacing w:after="0" w:line="240" w:lineRule="auto"/>
        <w:jc w:val="both"/>
        <w:rPr>
          <w:rFonts w:asciiTheme="majorHAnsi" w:hAnsiTheme="majorHAnsi" w:cstheme="majorHAnsi"/>
        </w:rPr>
      </w:pPr>
    </w:p>
    <w:p w14:paraId="6A2BF90F" w14:textId="5428D566" w:rsidR="004E75BC" w:rsidRPr="004E75BC" w:rsidRDefault="004E75BC" w:rsidP="004E75BC">
      <w:pPr>
        <w:numPr>
          <w:ilvl w:val="1"/>
          <w:numId w:val="28"/>
        </w:numPr>
        <w:tabs>
          <w:tab w:val="num" w:pos="0"/>
        </w:tabs>
        <w:spacing w:after="0"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Хранитель обязуется на условиях, установленных настоящим Договором, за вознаграждение принять и хранить передаваемое ему Поклажедателем имущество и возвратить его в сохранности по первому требованию Поклажедателя.</w:t>
      </w:r>
    </w:p>
    <w:p w14:paraId="33FE9C9A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</w:p>
    <w:p w14:paraId="797DE817" w14:textId="182A9CB6" w:rsidR="004E75BC" w:rsidRDefault="004E75BC" w:rsidP="004E75BC">
      <w:pPr>
        <w:numPr>
          <w:ilvl w:val="0"/>
          <w:numId w:val="28"/>
        </w:num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Порядок принятия, хранение и возврат имущества</w:t>
      </w:r>
    </w:p>
    <w:p w14:paraId="35CAB6FA" w14:textId="77777777" w:rsidR="004E75BC" w:rsidRPr="004E75BC" w:rsidRDefault="004E75BC" w:rsidP="004E75BC">
      <w:pPr>
        <w:spacing w:after="0" w:line="240" w:lineRule="auto"/>
        <w:ind w:left="720"/>
        <w:rPr>
          <w:rFonts w:asciiTheme="majorHAnsi" w:hAnsiTheme="majorHAnsi" w:cstheme="majorHAnsi"/>
          <w:b/>
        </w:rPr>
      </w:pPr>
    </w:p>
    <w:p w14:paraId="6E3DA9C5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2.1. Передача имущества Хранителю и его возврат Поклажедателю оформляются Актом о приеме-передаче товарно-материальных ценностей на хранение и Актом о возврате товарно-материальных ценностей, сданных на хранение, подписываемыми уполномоченными представителями Сторон.</w:t>
      </w:r>
    </w:p>
    <w:p w14:paraId="4EA6EEAA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2.2. Срок передачи имущества на хранение определяется в письменной Заявке.</w:t>
      </w:r>
    </w:p>
    <w:p w14:paraId="751ED296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  <w:color w:val="000000"/>
        </w:rPr>
        <w:t xml:space="preserve">2.3. Имущество </w:t>
      </w:r>
      <w:r w:rsidRPr="004E75BC">
        <w:rPr>
          <w:rFonts w:asciiTheme="majorHAnsi" w:hAnsiTheme="majorHAnsi" w:cstheme="majorHAnsi"/>
        </w:rPr>
        <w:t>Поклажедателя размещается либо на фиксированной площади ____________ (_____________) кв.метров.</w:t>
      </w:r>
      <w:r w:rsidRPr="004E75BC">
        <w:rPr>
          <w:rFonts w:asciiTheme="majorHAnsi" w:hAnsiTheme="majorHAnsi" w:cstheme="majorHAnsi"/>
          <w:b/>
        </w:rPr>
        <w:t xml:space="preserve"> </w:t>
      </w:r>
      <w:r w:rsidRPr="004E75BC">
        <w:rPr>
          <w:rFonts w:asciiTheme="majorHAnsi" w:hAnsiTheme="majorHAnsi" w:cstheme="majorHAnsi"/>
        </w:rPr>
        <w:t>либо на площади, указанной Заявке на хранение.</w:t>
      </w:r>
      <w:r w:rsidRPr="004E75BC">
        <w:rPr>
          <w:rFonts w:asciiTheme="majorHAnsi" w:hAnsiTheme="majorHAnsi" w:cstheme="majorHAnsi"/>
          <w:b/>
        </w:rPr>
        <w:t xml:space="preserve">  </w:t>
      </w:r>
      <w:r w:rsidRPr="004E75BC">
        <w:rPr>
          <w:rFonts w:asciiTheme="majorHAnsi" w:hAnsiTheme="majorHAnsi" w:cstheme="majorHAnsi"/>
        </w:rPr>
        <w:t xml:space="preserve"> Изменение занимаемой имуществом Поклажедателя площади возможно по согласованию Сторон</w:t>
      </w:r>
    </w:p>
    <w:p w14:paraId="3A81B4BC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  <w:u w:val="single"/>
        </w:rPr>
      </w:pPr>
      <w:r w:rsidRPr="004E75BC">
        <w:rPr>
          <w:rFonts w:asciiTheme="majorHAnsi" w:hAnsiTheme="majorHAnsi" w:cstheme="majorHAnsi"/>
        </w:rPr>
        <w:t>2.4. Хранение имущества Поклажедателя осуществляется на отапливаемом складе</w:t>
      </w:r>
      <w:r w:rsidRPr="004E75BC">
        <w:rPr>
          <w:rFonts w:asciiTheme="majorHAnsi" w:hAnsiTheme="majorHAnsi" w:cstheme="majorHAnsi"/>
          <w:u w:val="single"/>
        </w:rPr>
        <w:t xml:space="preserve">. </w:t>
      </w:r>
    </w:p>
    <w:p w14:paraId="1CFF6E09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2.5. Хранитель принимает имущество по количеству без внутреннего пересчета и проверки содержимого тары (упаковки).</w:t>
      </w:r>
    </w:p>
    <w:p w14:paraId="0E2D0BAA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2.6. Хранитель при приеме имущества на хранение выдает Поклажедателю Акт о приеме-передаче товарно-материальных ценностей на хранение, в котором указывается следующее: </w:t>
      </w:r>
    </w:p>
    <w:p w14:paraId="71253BAB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- текущий номер и дата выдачи Акта о приеме-передаче товарно-материальных ценностей; </w:t>
      </w:r>
    </w:p>
    <w:p w14:paraId="3C6EF0D4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наименование и место нахождение Хранителя и Поклажедателя;</w:t>
      </w:r>
    </w:p>
    <w:p w14:paraId="0719C977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наименование, и количество принятого на хранение имущества (число единиц, товарных мест, вес и объем);</w:t>
      </w:r>
    </w:p>
    <w:p w14:paraId="0352828C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- стоимость имущества, переданного на хранение (на основании представленных Поклажедателем документов); </w:t>
      </w:r>
    </w:p>
    <w:p w14:paraId="0F66DDB3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срок, на который имущество принято на хранение;</w:t>
      </w:r>
    </w:p>
    <w:p w14:paraId="7853CF47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печать и подпись Хранителя и Поклажедателя;</w:t>
      </w:r>
    </w:p>
    <w:p w14:paraId="4243D0ED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2.7. Возврат имущества Поклажедателю сопровождается подписанием Сторонами Акта о возврате товарно-материальных ценностей, в котором указывается следующее:</w:t>
      </w:r>
    </w:p>
    <w:p w14:paraId="3EB2F0EF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текущий номер дата выдачи Акта о возврате товарно-материальных ценностей сданных на хранение;</w:t>
      </w:r>
    </w:p>
    <w:p w14:paraId="71D1DCAF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наименование и место нахождение Хранителя и Поклажедателя;</w:t>
      </w:r>
    </w:p>
    <w:p w14:paraId="1B0C19F1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lastRenderedPageBreak/>
        <w:t>- наименование, и количество возвращенного Поклажедателю имущества (число единиц, товарных мест, вес и объем);</w:t>
      </w:r>
    </w:p>
    <w:p w14:paraId="3A4BE979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- печать и подпись Хранителя и Поклажедателя.</w:t>
      </w:r>
    </w:p>
    <w:p w14:paraId="0D48A645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2.8. Уклонение Поклажедателя от принятия вещи служит основанием для принудительной продажи Хранителем имущества в установленном порядке и для заявления требования о возмещении убытков.</w:t>
      </w:r>
    </w:p>
    <w:p w14:paraId="66D6650C" w14:textId="77777777" w:rsidR="004E75BC" w:rsidRDefault="004E75BC" w:rsidP="004E75BC">
      <w:pPr>
        <w:spacing w:line="240" w:lineRule="auto"/>
        <w:jc w:val="center"/>
        <w:rPr>
          <w:rFonts w:asciiTheme="majorHAnsi" w:hAnsiTheme="majorHAnsi" w:cstheme="majorHAnsi"/>
        </w:rPr>
      </w:pPr>
    </w:p>
    <w:p w14:paraId="3B7FB609" w14:textId="49EF5C38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3. Права и обязанности Сторон</w:t>
      </w:r>
    </w:p>
    <w:p w14:paraId="2D774772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3.1. Права и обязанности Хранителя:</w:t>
      </w:r>
    </w:p>
    <w:p w14:paraId="53FCA187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3.1.1. Принять от Поклажедателя имущество на хранение в срок, установленный п. 2.2 настоящего Договора. </w:t>
      </w:r>
    </w:p>
    <w:p w14:paraId="1DCD8BF7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3.1.2. Хранить имущество до востребования его Поклажедателем. Для того чтобы обеспечить сохранность переданного на хранение имущества, Хранитель обязан принять все меры, предусмотренные настоящим Договором, а также все меры, соответствующие обычаям делового оборота и существу обязательства по хранению, в том числе свойствам переданного на хранение имущества. </w:t>
      </w:r>
    </w:p>
    <w:p w14:paraId="717F46FD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3.1.3. Выполнить погрузо-разгрузочные работы при приемке имущества на хранение и при его возврате Поклажедателю. </w:t>
      </w:r>
    </w:p>
    <w:p w14:paraId="3AD343F5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3.1.4. Возвратить по требованию Поклажедателя то же самое имущество, которое было передано на хранение. </w:t>
      </w:r>
    </w:p>
    <w:p w14:paraId="55E2E525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3.1.5. Хранитель обязан возместить Поклажедателю убытки, причиненные утратой, недостачей или повреждением имущества, находящегося на хранении.</w:t>
      </w:r>
    </w:p>
    <w:p w14:paraId="7C7D9FCB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3.1.6. Хранитель вправе получить от Поклажедателя вознаграждение за хранение имущества в соответствии с п. 4 настоящего Договора, а также получить возмещение расходов, связанных с хранением имущества Поклажедателя.   </w:t>
      </w:r>
    </w:p>
    <w:p w14:paraId="7A682967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3.1.7. Хранитель вправе использовать в качестве обеспечения обязательств по настоящему Договору удержание имущества, переданного на хранение, в соответствии со ст. 359, 360 ГК РФ в случае неисполнения, несвоевременного исполнения или ненадлежащего исполнения Поклажедателем своих обязательств по оплате вознаграждения Хранителю по правилам, установленным п. 4 настоящего Договора. </w:t>
      </w:r>
    </w:p>
    <w:p w14:paraId="09093B99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3.1.8. Хранитель вправе требовать от Поклажедателя взять имущество обратно к моменту истечения срока действия настоящего Договора. </w:t>
      </w:r>
    </w:p>
    <w:p w14:paraId="424014B4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3.1.9. В случае неисполнения Поклажедателем обязанности взять имущество обратно по окончании срока действия настоящего Договора, Хранитель после письменного предупреждения Поклажедателя, имеет право реализовать имущество, переданное ему на хранение по цене сложившейся в месте хранения.  </w:t>
      </w:r>
    </w:p>
    <w:p w14:paraId="2F67191B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3.1.10. Хранитель вправе требовать возмещения расходов, вызванных устранением вредных последствий, обусловленных свойствами имущества, сданного на хранение, если Хранитель, принимая имущество, не знал и не должен был знать об этих свойствах. </w:t>
      </w:r>
    </w:p>
    <w:p w14:paraId="213AE0E0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3.1.11. Хранитель не в праве без согласия Поклажедателя пользоваться переданным на хранение имуществом, а равно предоставлять возможность пользования им третьим лицам.</w:t>
      </w:r>
    </w:p>
    <w:p w14:paraId="6AD1B076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3.1.12. Хранитель не в праве без согласия Поклажедателя передавать имущество на хранение третьему лицу, за исключением случаев, когда он вынужден к этому силой обстоятельств в интересах Поклажедателя и лишен возможности получить его согласие. О передаче имущества на хранение третьему лицу Хранитель обязан незамедлительно уведомить Поклажедателя. При этом Хранитель отвечает за действия третьих лиц, которому он передал имущество на хранение, как за свои собственные действия.  </w:t>
      </w:r>
    </w:p>
    <w:p w14:paraId="096B9CD3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lastRenderedPageBreak/>
        <w:t xml:space="preserve">3.2. Права и обязанности Поклажедателя: </w:t>
      </w:r>
    </w:p>
    <w:p w14:paraId="006C0B2B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3.2.1. Поклажедатель обязан передать Хранителю имущество на хранение в срок, установленный п. 2.2 настоящего Договора.  </w:t>
      </w:r>
    </w:p>
    <w:p w14:paraId="4BF53328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3.2.2. Поклажедатель обязан передать имущество на хранение, предупредив Хранителя о свойствах передаваемого на хранение имущества. Поклажедатель гарантирует Хранителю, что передаваемое на хранение имущество не включает объекты, изъятые из свободного оборота в соответствии с Постановлением Правительства РФ от 10.12.1992 г. № 959, а также не является взрывоопасным, огнеопасным и содержащим вредные вещества.    </w:t>
      </w:r>
    </w:p>
    <w:p w14:paraId="18B86AC3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3.2.3. Поклажедатель обязан возместить Хранителю убытки, причиненные свойствами сданного на хранение имущества, если Хранитель, принимая имущество на хранение, не знал и не должен был знать об этих свойствах. Размер убытков определяется вредными последствиями, которые вызваны свойствами принятого на хранение имущества и могут выразиться в уничтожении или повреждении имущества, принадлежащего Хранителю или третьим лицам, или в иных негативных последствиях. Размер ответственности определяется по общим правилам, установленным ст.ст. 15 и 393 ГК РФ. </w:t>
      </w:r>
    </w:p>
    <w:p w14:paraId="75E488FD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3.2.4. Поклажедатель обязан уплатить Хранителю вознаграждение за хранение и возместить расходы, связанные с хранением имущества в порядке, установленном п. 4 настоящего Договора.</w:t>
      </w:r>
    </w:p>
    <w:p w14:paraId="5B683D0E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3.2.5. По истечении срока действия настоящего Договора Поклажедатель обязан принять обратно имущество, переданное на хранение.  </w:t>
      </w:r>
    </w:p>
    <w:p w14:paraId="48FB38B2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3.2.6. Поклажедатель вправе в любое время забрать часть или все имущество со склада Хранителя.</w:t>
      </w:r>
    </w:p>
    <w:p w14:paraId="68BAF31B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3.2.7. Поклажедатель вправе требовать от Хранителя добросовестного выполнения обязанностей по настоящему Договору.   </w:t>
      </w:r>
    </w:p>
    <w:p w14:paraId="03B53D18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</w:p>
    <w:p w14:paraId="5AF583E1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 xml:space="preserve">4. Вознаграждение за хранение и порядок расчетов </w:t>
      </w:r>
    </w:p>
    <w:p w14:paraId="504A8DB3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4.1. Поклажедатель за хранение имущества уплачивает Хранителю вознаграждение в размере                         </w:t>
      </w:r>
      <w:r w:rsidRPr="004E75BC">
        <w:rPr>
          <w:rFonts w:asciiTheme="majorHAnsi" w:hAnsiTheme="majorHAnsi" w:cstheme="majorHAnsi"/>
          <w:u w:val="single"/>
        </w:rPr>
        <w:t>установленных тарифов</w:t>
      </w:r>
      <w:r w:rsidRPr="004E75BC">
        <w:rPr>
          <w:rFonts w:asciiTheme="majorHAnsi" w:hAnsiTheme="majorHAnsi" w:cstheme="majorHAnsi"/>
        </w:rPr>
        <w:t xml:space="preserve"> (в том числе НДС) в сутки за 1 (один) квадратный метр фактически занимаемой имуществом площади, указанной в п. 2.3 настоящего Договора. Тарифы на ответственное хранение указаны на сайте </w:t>
      </w:r>
      <w:r w:rsidRPr="004E75BC">
        <w:rPr>
          <w:rFonts w:asciiTheme="majorHAnsi" w:hAnsiTheme="majorHAnsi" w:cstheme="majorHAnsi"/>
          <w:lang w:val="en-US"/>
        </w:rPr>
        <w:t>www</w:t>
      </w:r>
      <w:r w:rsidRPr="004E75BC">
        <w:rPr>
          <w:rFonts w:asciiTheme="majorHAnsi" w:hAnsiTheme="majorHAnsi" w:cstheme="majorHAnsi"/>
        </w:rPr>
        <w:t>.</w:t>
      </w:r>
      <w:r w:rsidRPr="004E75BC">
        <w:rPr>
          <w:rFonts w:asciiTheme="majorHAnsi" w:hAnsiTheme="majorHAnsi" w:cstheme="majorHAnsi"/>
          <w:lang w:val="en-US"/>
        </w:rPr>
        <w:t>al</w:t>
      </w:r>
      <w:r w:rsidRPr="004E75BC">
        <w:rPr>
          <w:rFonts w:asciiTheme="majorHAnsi" w:hAnsiTheme="majorHAnsi" w:cstheme="majorHAnsi"/>
        </w:rPr>
        <w:t>-</w:t>
      </w:r>
      <w:r w:rsidRPr="004E75BC">
        <w:rPr>
          <w:rFonts w:asciiTheme="majorHAnsi" w:hAnsiTheme="majorHAnsi" w:cstheme="majorHAnsi"/>
          <w:lang w:val="en-US"/>
        </w:rPr>
        <w:t>ba</w:t>
      </w:r>
      <w:r w:rsidRPr="004E75BC">
        <w:rPr>
          <w:rFonts w:asciiTheme="majorHAnsi" w:hAnsiTheme="majorHAnsi" w:cstheme="majorHAnsi"/>
        </w:rPr>
        <w:t>.</w:t>
      </w:r>
      <w:r w:rsidRPr="004E75BC">
        <w:rPr>
          <w:rFonts w:asciiTheme="majorHAnsi" w:hAnsiTheme="majorHAnsi" w:cstheme="majorHAnsi"/>
          <w:lang w:val="en-US"/>
        </w:rPr>
        <w:t>ru</w:t>
      </w:r>
      <w:r w:rsidRPr="004E75BC">
        <w:rPr>
          <w:rFonts w:asciiTheme="majorHAnsi" w:hAnsiTheme="majorHAnsi" w:cstheme="majorHAnsi"/>
        </w:rPr>
        <w:t>.</w:t>
      </w:r>
    </w:p>
    <w:p w14:paraId="572AFD51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4.2. Сумма вознаграждения включает в себя все расходы Хранителя, связанные с выполнением своих обязательств по настоящему Договору. </w:t>
      </w:r>
    </w:p>
    <w:p w14:paraId="2744FED8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4.3. Сумма вознаграждения уплачивается Поклажедателем ежемесячно, согласно выставленным Хранителем счетам, в виде 100% авансового платежа, но не позднее 1 (первого) числа месяца, за который производится оплата вознаграждения. </w:t>
      </w:r>
    </w:p>
    <w:p w14:paraId="1CF165F5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4.4. Выставляемые Хранителем счета подлежат оплате в течение 3 (трех) рабочих дней со дня выставления счета. </w:t>
      </w:r>
    </w:p>
    <w:p w14:paraId="73E13866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4.5. При просрочке оплаты вознаграждения за хранение, Поклажедатель выплачивает Хранителю штраф в размере 0,1 % от подлежащей оплате суммы за соответствующий период за каждый день просрочки. </w:t>
      </w:r>
    </w:p>
    <w:p w14:paraId="223D9D70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4.6. Сумма вознаграждения Хранителя может быть изменена, но не чаще одного раза в месяц, что фиксируется в Дополнительном соглашении, подписанном уполномоченными представителями Сторон. В случае не достижения согласия, Хранитель вправе расторгнуть договор досрочно, но только через 30 дней</w:t>
      </w:r>
      <w:r w:rsidRPr="004E75BC">
        <w:rPr>
          <w:rFonts w:asciiTheme="majorHAnsi" w:hAnsiTheme="majorHAnsi" w:cstheme="majorHAnsi"/>
          <w:color w:val="3366FF"/>
        </w:rPr>
        <w:t xml:space="preserve"> </w:t>
      </w:r>
      <w:r w:rsidRPr="004E75BC">
        <w:rPr>
          <w:rFonts w:asciiTheme="majorHAnsi" w:hAnsiTheme="majorHAnsi" w:cstheme="majorHAnsi"/>
        </w:rPr>
        <w:t>после уведомления о расторжении договора Поклажедателя.</w:t>
      </w:r>
    </w:p>
    <w:p w14:paraId="30CD993F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4.7. Площадь, предоставляемая дополнительно, оплачивается Поклажедателем из расчета фактически занимаемой площади, согласно выставленным Хранителем счетам, по ставке согласованной Сторонами.</w:t>
      </w:r>
    </w:p>
    <w:p w14:paraId="5A7CCB45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lastRenderedPageBreak/>
        <w:t xml:space="preserve">4.8. Если по истечении срока действия настоящего Договора находящееся на хранении имущество не взято обратно Поклажедателем, он обязан уплатить Хранителю соразмерное вознаграждение за дальнейшее хранение имущества в размере, установленном п. 4.1. настоящего Договора. </w:t>
      </w:r>
    </w:p>
    <w:p w14:paraId="2269BFDB" w14:textId="77777777" w:rsidR="004E75BC" w:rsidRDefault="004E75BC" w:rsidP="004E75BC">
      <w:pPr>
        <w:spacing w:line="240" w:lineRule="auto"/>
        <w:jc w:val="center"/>
        <w:rPr>
          <w:rFonts w:asciiTheme="majorHAnsi" w:hAnsiTheme="majorHAnsi" w:cstheme="majorHAnsi"/>
        </w:rPr>
      </w:pPr>
    </w:p>
    <w:p w14:paraId="71052B50" w14:textId="4DF1E69C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5. Ответственность Сторон</w:t>
      </w:r>
    </w:p>
    <w:p w14:paraId="6E5B8EDA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  <w:u w:val="single"/>
        </w:rPr>
      </w:pPr>
      <w:r w:rsidRPr="004E75BC">
        <w:rPr>
          <w:rFonts w:asciiTheme="majorHAnsi" w:hAnsiTheme="majorHAnsi" w:cstheme="majorHAnsi"/>
        </w:rPr>
        <w:t>5.1. Меры ответственности Сторон настоящего Договора определяются по правилам, установленным в ГК РФ. Помимо мер ответственности, предусмотренных гражданским законодательством, Стороны настоящего Договора пришли к соглашению установить дополнительные меры ответственности Хранителя и Поклажедателя.</w:t>
      </w:r>
    </w:p>
    <w:p w14:paraId="49842586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5.2. Хранитель несет ответственность: </w:t>
      </w:r>
    </w:p>
    <w:p w14:paraId="6DA067E9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5.2.1. За необоснованную невыдачу имущества Поклажедателю.</w:t>
      </w:r>
    </w:p>
    <w:p w14:paraId="3DBF3481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5.2.2. За утрату, недостачу или повреждение имущества, принятого на хранение в размере стоимости утраченного, недостающего или поврежденного имущества, в соответствии со ст.ст. 15 и 393 ГК РФ.</w:t>
      </w:r>
    </w:p>
    <w:p w14:paraId="6B4E1134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5.2.3. В случае обнаружения одной из сторон утраты, недостачи или повреждения имущества обнаружившая их Сторона должна незамедлительно уведомить другую Сторону об этом. По результатам совместного обследования имущества Стороны составляют в установленном порядке Акт. </w:t>
      </w:r>
    </w:p>
    <w:p w14:paraId="2CF6D7A7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5.2.4. Хранитель не несет ответственность за санитарное состояние и недостачу товара внутри упаковки при условии, что упаковка находится в надлежащем состоянии, не имеет никаких ухудшений и повреждений, а также следов вскрытия. Истечение срока годности товара к употреблению не является порчей в рамках настоящего договора.</w:t>
      </w:r>
    </w:p>
    <w:p w14:paraId="14BBDA8B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5.2.5. Хранитель не несет ответственность за утрату, недостачу или повреждение имущества, если докажет, что утрата, недостача или повреждение имущества произошли вследствие непреодолимой силы или из-за свойств имущества, о которых Хранитель, принимая его на хранение, не знал и не должен был знать, либо в результате умысла или грубой неосторожности Поклажедателя. </w:t>
      </w:r>
    </w:p>
    <w:p w14:paraId="05BBB4CE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5.2.6. Хранитель не несет ответственность за недостачу имущества в пределах норм естественной убыли (усушка, выветривание, испарение).</w:t>
      </w:r>
    </w:p>
    <w:p w14:paraId="0D14000E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5.2.7. В случае просрочки принятия имущества</w:t>
      </w:r>
      <w:r w:rsidRPr="004E75BC">
        <w:rPr>
          <w:rFonts w:asciiTheme="majorHAnsi" w:hAnsiTheme="majorHAnsi" w:cstheme="majorHAnsi"/>
          <w:b/>
        </w:rPr>
        <w:t xml:space="preserve"> </w:t>
      </w:r>
      <w:r w:rsidRPr="004E75BC">
        <w:rPr>
          <w:rFonts w:asciiTheme="majorHAnsi" w:hAnsiTheme="majorHAnsi" w:cstheme="majorHAnsi"/>
        </w:rPr>
        <w:t xml:space="preserve">Поклажедателем обратно Хранитель освобождается от ответственности за утрату, недостачу или повреждение имущества, происшедшее случайно или из-за простой неосторожности, и отвечает только при наличии с его стороны умысла или грубой неосторожности (ст. 901 ГК РФ). </w:t>
      </w:r>
    </w:p>
    <w:p w14:paraId="5352DBEC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5.3. Поклажедатель несет ответственность: </w:t>
      </w:r>
    </w:p>
    <w:p w14:paraId="2CCBC779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5.3.1. За сообщение Хранителю заведомо ложных сведений о свойствах передаваемого на хранение имущества, а также за не сообщение сведений о свойствах имущества. </w:t>
      </w:r>
    </w:p>
    <w:p w14:paraId="20B04586" w14:textId="77777777" w:rsidR="004E75BC" w:rsidRPr="004E75BC" w:rsidRDefault="004E75BC" w:rsidP="004E75BC">
      <w:pPr>
        <w:tabs>
          <w:tab w:val="num" w:pos="1080"/>
        </w:tabs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5.3.2. Поклажедатель несет ответственность за убытки, причиненные Хранителю или третьим лицам в связи с передачей на хранение опасного по своей природе имущества (легковоспламеняющееся, взрывоопасное, ядовитое).  </w:t>
      </w:r>
    </w:p>
    <w:p w14:paraId="2567F3FB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5.4. Ответственность Сторон в иных случаях определяется в соответствии с действующим законодательством РФ.</w:t>
      </w:r>
    </w:p>
    <w:p w14:paraId="6300AA23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6. Срок действия Договора</w:t>
      </w:r>
    </w:p>
    <w:p w14:paraId="3068DE75" w14:textId="55C2630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  <w:b/>
          <w:u w:val="single"/>
        </w:rPr>
      </w:pPr>
      <w:r w:rsidRPr="004E75BC">
        <w:rPr>
          <w:rFonts w:asciiTheme="majorHAnsi" w:hAnsiTheme="majorHAnsi" w:cstheme="majorHAnsi"/>
        </w:rPr>
        <w:t>6.1. Настоящий Договор вступает в силу с момента его подписания Сторонами и продолжает действовать до «</w:t>
      </w:r>
      <w:r w:rsidRPr="004E75BC">
        <w:rPr>
          <w:rFonts w:asciiTheme="majorHAnsi" w:hAnsiTheme="majorHAnsi" w:cstheme="majorHAnsi"/>
        </w:rPr>
        <w:t>___</w:t>
      </w:r>
      <w:r w:rsidRPr="004E75BC">
        <w:rPr>
          <w:rFonts w:asciiTheme="majorHAnsi" w:hAnsiTheme="majorHAnsi" w:cstheme="majorHAnsi"/>
        </w:rPr>
        <w:t xml:space="preserve">» </w:t>
      </w:r>
      <w:r w:rsidRPr="004E75BC">
        <w:rPr>
          <w:rFonts w:asciiTheme="majorHAnsi" w:hAnsiTheme="majorHAnsi" w:cstheme="majorHAnsi"/>
        </w:rPr>
        <w:t>_______</w:t>
      </w:r>
      <w:r w:rsidRPr="004E75BC">
        <w:rPr>
          <w:rFonts w:asciiTheme="majorHAnsi" w:hAnsiTheme="majorHAnsi" w:cstheme="majorHAnsi"/>
        </w:rPr>
        <w:t xml:space="preserve">  20</w:t>
      </w:r>
      <w:r w:rsidRPr="004E75BC">
        <w:rPr>
          <w:rFonts w:asciiTheme="majorHAnsi" w:hAnsiTheme="majorHAnsi" w:cstheme="majorHAnsi"/>
        </w:rPr>
        <w:t>2_</w:t>
      </w:r>
      <w:r>
        <w:rPr>
          <w:rFonts w:asciiTheme="majorHAnsi" w:hAnsiTheme="majorHAnsi" w:cstheme="majorHAnsi"/>
          <w:lang w:val="en-US"/>
        </w:rPr>
        <w:t>_</w:t>
      </w:r>
      <w:r w:rsidRPr="004E75BC">
        <w:rPr>
          <w:rFonts w:asciiTheme="majorHAnsi" w:hAnsiTheme="majorHAnsi" w:cstheme="majorHAnsi"/>
        </w:rPr>
        <w:t xml:space="preserve"> г.</w:t>
      </w:r>
      <w:r w:rsidRPr="004E75BC">
        <w:rPr>
          <w:rFonts w:asciiTheme="majorHAnsi" w:hAnsiTheme="majorHAnsi" w:cstheme="majorHAnsi"/>
          <w:b/>
          <w:u w:val="single"/>
        </w:rPr>
        <w:t xml:space="preserve"> </w:t>
      </w:r>
    </w:p>
    <w:p w14:paraId="422AEF8B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lastRenderedPageBreak/>
        <w:t>6.2. Поклажедатель сообщает Хранителю о прекращении настоящего Договора в письменной форме не позднее 30 дней до предполагаемой даты прекращения Договора.</w:t>
      </w:r>
    </w:p>
    <w:p w14:paraId="04347474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6.3. Хранитель вправе отказаться от исполнения настоящего договора в случае, если Поклажедатель допускает существенные нарушения условий договора. </w:t>
      </w:r>
    </w:p>
    <w:p w14:paraId="7C657233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</w:p>
    <w:p w14:paraId="5ADB0F7A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7. Порядок рассмотрения споров</w:t>
      </w:r>
    </w:p>
    <w:p w14:paraId="58FB2F79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7.1. Стороны будут стремиться к тому, чтобы уладить возникший спор, разногласие или претензию, вытекающие из настоящего Договора или в связи с его исполнением, путем переговоров.</w:t>
      </w:r>
    </w:p>
    <w:p w14:paraId="3759292C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7.2. В случае невозможности достижения согласия между Сторонами путем переговоров спор будет передан на рассмотрение в Арбитражный суд г. Москвы.</w:t>
      </w:r>
    </w:p>
    <w:p w14:paraId="31B3608F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</w:p>
    <w:p w14:paraId="498C2D08" w14:textId="77777777" w:rsidR="004E75BC" w:rsidRPr="004E75BC" w:rsidRDefault="004E75BC" w:rsidP="004E75BC">
      <w:pPr>
        <w:spacing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8. Заключительные положения договора</w:t>
      </w:r>
    </w:p>
    <w:p w14:paraId="5736E0D2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8.1. Все изменения и дополнения к настоящему Договору должны быть составлены в письменной форме и подписаны уполномоченными представителями Сторон, а также заверены печатью Сторон. </w:t>
      </w:r>
    </w:p>
    <w:p w14:paraId="6F5BC0BD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8.2. Приложения являются неотъемлемой частью настоящего Договора.</w:t>
      </w:r>
    </w:p>
    <w:p w14:paraId="2DFDF471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>8.3. Обо всех изменениях в адресах и платежных реквизитах Стороны должны незамедлительно информировать друг друга.</w:t>
      </w:r>
    </w:p>
    <w:p w14:paraId="02976E8B" w14:textId="77777777" w:rsidR="004E75BC" w:rsidRPr="004E75BC" w:rsidRDefault="004E75BC" w:rsidP="004E75BC">
      <w:pPr>
        <w:spacing w:line="240" w:lineRule="auto"/>
        <w:jc w:val="both"/>
        <w:rPr>
          <w:rFonts w:asciiTheme="majorHAnsi" w:hAnsiTheme="majorHAnsi" w:cstheme="majorHAnsi"/>
        </w:rPr>
      </w:pPr>
      <w:r w:rsidRPr="004E75BC">
        <w:rPr>
          <w:rFonts w:asciiTheme="majorHAnsi" w:hAnsiTheme="majorHAnsi" w:cstheme="majorHAnsi"/>
        </w:rPr>
        <w:t xml:space="preserve">8.4. Настоящий Договор составлен в двух экземплярах, имеющих одинаковую силу, по одному для каждой из сторон. </w:t>
      </w:r>
    </w:p>
    <w:p w14:paraId="47EC0F45" w14:textId="77777777" w:rsidR="004E75BC" w:rsidRPr="004E75BC" w:rsidRDefault="004E75BC" w:rsidP="004E75BC">
      <w:pPr>
        <w:numPr>
          <w:ilvl w:val="0"/>
          <w:numId w:val="29"/>
        </w:num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4E75BC">
        <w:rPr>
          <w:rFonts w:asciiTheme="majorHAnsi" w:hAnsiTheme="majorHAnsi" w:cstheme="majorHAnsi"/>
          <w:b/>
        </w:rPr>
        <w:t>Адреса, реквизиты и подписи Сторон</w:t>
      </w:r>
    </w:p>
    <w:p w14:paraId="3CEDC811" w14:textId="77777777" w:rsidR="00C92AE7" w:rsidRPr="004E75BC" w:rsidRDefault="00C92AE7" w:rsidP="004E75BC">
      <w:pPr>
        <w:pStyle w:val="ae"/>
        <w:spacing w:after="0" w:line="240" w:lineRule="auto"/>
        <w:ind w:left="360"/>
        <w:outlineLvl w:val="0"/>
        <w:rPr>
          <w:rFonts w:asciiTheme="majorHAnsi" w:hAnsiTheme="majorHAnsi" w:cstheme="majorHAnsi"/>
          <w:b/>
        </w:rPr>
      </w:pPr>
    </w:p>
    <w:tbl>
      <w:tblPr>
        <w:tblStyle w:val="af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6B5588" w:rsidRPr="004E75BC" w14:paraId="73E3D45C" w14:textId="77777777" w:rsidTr="004B1FF6">
        <w:trPr>
          <w:jc w:val="center"/>
        </w:trPr>
        <w:tc>
          <w:tcPr>
            <w:tcW w:w="5098" w:type="dxa"/>
            <w:vAlign w:val="center"/>
          </w:tcPr>
          <w:p w14:paraId="7F192D5F" w14:textId="12E7162D" w:rsidR="006B5588" w:rsidRPr="004E75BC" w:rsidRDefault="006B5588" w:rsidP="004E75BC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4E75BC">
              <w:rPr>
                <w:rFonts w:asciiTheme="majorHAnsi" w:hAnsiTheme="majorHAnsi" w:cstheme="majorHAnsi"/>
                <w:b/>
                <w:bCs/>
              </w:rPr>
              <w:t>ЭКСПЕДИТОР:</w:t>
            </w:r>
          </w:p>
        </w:tc>
        <w:tc>
          <w:tcPr>
            <w:tcW w:w="5098" w:type="dxa"/>
            <w:vAlign w:val="center"/>
          </w:tcPr>
          <w:p w14:paraId="177F0D5D" w14:textId="77777777" w:rsidR="004B1FF6" w:rsidRPr="004E75BC" w:rsidRDefault="004B1FF6" w:rsidP="004E75BC">
            <w:pPr>
              <w:snapToGrid w:val="0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  <w:p w14:paraId="6BAACF7E" w14:textId="44C36824" w:rsidR="006B5588" w:rsidRPr="004E75BC" w:rsidRDefault="006B5588" w:rsidP="004E75BC">
            <w:pPr>
              <w:snapToGrid w:val="0"/>
              <w:spacing w:after="0" w:line="240" w:lineRule="auto"/>
              <w:rPr>
                <w:rFonts w:asciiTheme="majorHAnsi" w:hAnsiTheme="majorHAnsi" w:cstheme="majorHAnsi"/>
                <w:bCs/>
              </w:rPr>
            </w:pPr>
            <w:r w:rsidRPr="004E75BC">
              <w:rPr>
                <w:rFonts w:asciiTheme="majorHAnsi" w:hAnsiTheme="majorHAnsi" w:cstheme="majorHAnsi"/>
                <w:b/>
                <w:bCs/>
              </w:rPr>
              <w:t>КЛИЕНТ</w:t>
            </w:r>
            <w:r w:rsidRPr="004E75BC">
              <w:rPr>
                <w:rFonts w:asciiTheme="majorHAnsi" w:hAnsiTheme="majorHAnsi" w:cstheme="majorHAnsi"/>
                <w:bCs/>
              </w:rPr>
              <w:t>:</w:t>
            </w:r>
          </w:p>
          <w:p w14:paraId="03EE9C03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3ED1E50A" w14:textId="77777777" w:rsidTr="004B1FF6">
        <w:trPr>
          <w:jc w:val="center"/>
        </w:trPr>
        <w:tc>
          <w:tcPr>
            <w:tcW w:w="5098" w:type="dxa"/>
            <w:vAlign w:val="center"/>
          </w:tcPr>
          <w:p w14:paraId="0656D33F" w14:textId="76DE6108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4E75BC">
              <w:rPr>
                <w:rFonts w:asciiTheme="majorHAnsi" w:hAnsiTheme="majorHAnsi" w:cstheme="majorHAnsi"/>
                <w:b/>
              </w:rPr>
              <w:t>ООО «Альба Марена»</w:t>
            </w:r>
          </w:p>
        </w:tc>
        <w:tc>
          <w:tcPr>
            <w:tcW w:w="5098" w:type="dxa"/>
            <w:vAlign w:val="center"/>
          </w:tcPr>
          <w:p w14:paraId="4BF2DB3F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20B11ADA" w14:textId="77777777" w:rsidTr="004B1FF6">
        <w:trPr>
          <w:jc w:val="center"/>
        </w:trPr>
        <w:tc>
          <w:tcPr>
            <w:tcW w:w="5098" w:type="dxa"/>
            <w:vAlign w:val="center"/>
          </w:tcPr>
          <w:p w14:paraId="154C92B8" w14:textId="45EED7EC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</w:rPr>
              <w:t>ИНН/КПП</w:t>
            </w:r>
            <w:r w:rsidRPr="004E75BC">
              <w:rPr>
                <w:rFonts w:asciiTheme="majorHAnsi" w:hAnsiTheme="majorHAnsi" w:cstheme="majorHAnsi"/>
              </w:rPr>
              <w:t xml:space="preserve"> 7721668051/772101001</w:t>
            </w:r>
          </w:p>
        </w:tc>
        <w:tc>
          <w:tcPr>
            <w:tcW w:w="5098" w:type="dxa"/>
            <w:vAlign w:val="center"/>
          </w:tcPr>
          <w:p w14:paraId="35A54767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3E17C2BC" w14:textId="77777777" w:rsidTr="004B1FF6">
        <w:trPr>
          <w:jc w:val="center"/>
        </w:trPr>
        <w:tc>
          <w:tcPr>
            <w:tcW w:w="5098" w:type="dxa"/>
            <w:vAlign w:val="center"/>
          </w:tcPr>
          <w:p w14:paraId="455FEE45" w14:textId="4C3D6A1D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  <w:bCs/>
              </w:rPr>
              <w:t>Адрес:</w:t>
            </w:r>
            <w:r w:rsidRPr="004E75BC">
              <w:rPr>
                <w:rFonts w:asciiTheme="majorHAnsi" w:hAnsiTheme="majorHAnsi" w:cstheme="majorHAnsi"/>
              </w:rPr>
              <w:t xml:space="preserve"> </w:t>
            </w:r>
            <w:smartTag w:uri="urn:schemas-microsoft-com:office:smarttags" w:element="metricconverter">
              <w:smartTagPr>
                <w:attr w:name="ProductID" w:val="109428 г"/>
              </w:smartTagPr>
              <w:r w:rsidRPr="004E75BC">
                <w:rPr>
                  <w:rFonts w:asciiTheme="majorHAnsi" w:hAnsiTheme="majorHAnsi" w:cstheme="majorHAnsi"/>
                </w:rPr>
                <w:t>109428 г</w:t>
              </w:r>
            </w:smartTag>
            <w:r w:rsidRPr="004E75BC">
              <w:rPr>
                <w:rFonts w:asciiTheme="majorHAnsi" w:hAnsiTheme="majorHAnsi" w:cstheme="majorHAnsi"/>
              </w:rPr>
              <w:t>. Москва, ул. Зарайская, д.21, оф. 304.1</w:t>
            </w:r>
          </w:p>
        </w:tc>
        <w:tc>
          <w:tcPr>
            <w:tcW w:w="5098" w:type="dxa"/>
            <w:vAlign w:val="center"/>
          </w:tcPr>
          <w:p w14:paraId="0C449513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2AFFB049" w14:textId="77777777" w:rsidTr="004B1FF6">
        <w:trPr>
          <w:jc w:val="center"/>
        </w:trPr>
        <w:tc>
          <w:tcPr>
            <w:tcW w:w="5098" w:type="dxa"/>
            <w:vAlign w:val="center"/>
          </w:tcPr>
          <w:p w14:paraId="30966F0E" w14:textId="6B1CBE43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</w:rPr>
              <w:t>Р/с</w:t>
            </w:r>
            <w:r w:rsidRPr="004E75BC">
              <w:rPr>
                <w:rFonts w:asciiTheme="majorHAnsi" w:hAnsiTheme="majorHAnsi" w:cstheme="majorHAnsi"/>
              </w:rPr>
              <w:t xml:space="preserve"> 40702810106000006211 </w:t>
            </w:r>
            <w:r w:rsidR="004B1FF6" w:rsidRPr="004E75BC">
              <w:rPr>
                <w:rFonts w:asciiTheme="majorHAnsi" w:hAnsiTheme="majorHAnsi" w:cstheme="majorHAnsi"/>
              </w:rPr>
              <w:t>в АКБ «Ланта-Банк» (АО), г.Москва</w:t>
            </w:r>
          </w:p>
        </w:tc>
        <w:tc>
          <w:tcPr>
            <w:tcW w:w="5098" w:type="dxa"/>
            <w:vAlign w:val="center"/>
          </w:tcPr>
          <w:p w14:paraId="162F2DE0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0F3D3889" w14:textId="77777777" w:rsidTr="004B1FF6">
        <w:trPr>
          <w:jc w:val="center"/>
        </w:trPr>
        <w:tc>
          <w:tcPr>
            <w:tcW w:w="5098" w:type="dxa"/>
            <w:vAlign w:val="center"/>
          </w:tcPr>
          <w:p w14:paraId="0A55D873" w14:textId="48BC077A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</w:rPr>
              <w:t>БИК</w:t>
            </w:r>
            <w:r w:rsidRPr="004E75BC">
              <w:rPr>
                <w:rFonts w:asciiTheme="majorHAnsi" w:hAnsiTheme="majorHAnsi" w:cstheme="majorHAnsi"/>
              </w:rPr>
              <w:t xml:space="preserve"> 044525348</w:t>
            </w:r>
          </w:p>
        </w:tc>
        <w:tc>
          <w:tcPr>
            <w:tcW w:w="5098" w:type="dxa"/>
            <w:vAlign w:val="center"/>
          </w:tcPr>
          <w:p w14:paraId="1A5D7AD0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1DBC5513" w14:textId="77777777" w:rsidTr="004B1FF6">
        <w:trPr>
          <w:jc w:val="center"/>
        </w:trPr>
        <w:tc>
          <w:tcPr>
            <w:tcW w:w="5098" w:type="dxa"/>
            <w:vAlign w:val="center"/>
          </w:tcPr>
          <w:p w14:paraId="3AAE915F" w14:textId="7077A5F7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</w:rPr>
              <w:t>ОКВЭД</w:t>
            </w:r>
            <w:r w:rsidRPr="004E75BC">
              <w:rPr>
                <w:rFonts w:asciiTheme="majorHAnsi" w:hAnsiTheme="majorHAnsi" w:cstheme="majorHAnsi"/>
              </w:rPr>
              <w:t xml:space="preserve"> </w:t>
            </w:r>
            <w:r w:rsidR="009449FC" w:rsidRPr="004E75BC">
              <w:rPr>
                <w:rFonts w:asciiTheme="majorHAnsi" w:hAnsiTheme="majorHAnsi" w:cstheme="majorHAnsi"/>
              </w:rPr>
              <w:t>49.41</w:t>
            </w:r>
          </w:p>
        </w:tc>
        <w:tc>
          <w:tcPr>
            <w:tcW w:w="5098" w:type="dxa"/>
            <w:vAlign w:val="center"/>
          </w:tcPr>
          <w:p w14:paraId="560BCCCA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6B5588" w:rsidRPr="004E75BC" w14:paraId="3FB0C76E" w14:textId="77777777" w:rsidTr="004B1FF6">
        <w:trPr>
          <w:jc w:val="center"/>
        </w:trPr>
        <w:tc>
          <w:tcPr>
            <w:tcW w:w="5098" w:type="dxa"/>
            <w:vAlign w:val="center"/>
          </w:tcPr>
          <w:p w14:paraId="36452D74" w14:textId="77777777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  <w:b/>
                <w:bCs/>
              </w:rPr>
              <w:t>Телефон</w:t>
            </w:r>
            <w:r w:rsidRPr="004E75BC">
              <w:rPr>
                <w:rFonts w:asciiTheme="majorHAnsi" w:hAnsiTheme="majorHAnsi" w:cstheme="majorHAnsi"/>
              </w:rPr>
              <w:t xml:space="preserve"> (495) 956-22-69</w:t>
            </w:r>
          </w:p>
          <w:p w14:paraId="7D38387C" w14:textId="77777777" w:rsidR="006B5588" w:rsidRPr="004E75BC" w:rsidRDefault="006B5588" w:rsidP="004E75BC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098" w:type="dxa"/>
            <w:vAlign w:val="center"/>
          </w:tcPr>
          <w:p w14:paraId="70DBEA19" w14:textId="77777777" w:rsidR="006B5588" w:rsidRPr="004E75BC" w:rsidRDefault="006B5588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4B1FF6" w:rsidRPr="004E75BC" w14:paraId="60A7B3C2" w14:textId="77777777" w:rsidTr="004B1FF6">
        <w:trPr>
          <w:jc w:val="center"/>
        </w:trPr>
        <w:tc>
          <w:tcPr>
            <w:tcW w:w="5098" w:type="dxa"/>
            <w:vAlign w:val="center"/>
          </w:tcPr>
          <w:p w14:paraId="47A392C4" w14:textId="77777777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A1B7427" w14:textId="51DDDE3C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</w:rPr>
              <w:t>Генеральный директор</w:t>
            </w:r>
          </w:p>
          <w:p w14:paraId="27C658C7" w14:textId="77777777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F48A361" w14:textId="77777777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0B0BF52" w14:textId="63459F93" w:rsidR="004B1FF6" w:rsidRPr="004E75BC" w:rsidRDefault="004B1FF6" w:rsidP="004E75BC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</w:rPr>
              <w:t>______________________________/ Семенов О.С. /</w:t>
            </w:r>
          </w:p>
          <w:p w14:paraId="7FEEFB00" w14:textId="77777777" w:rsidR="004B1FF6" w:rsidRPr="004E75BC" w:rsidRDefault="004B1FF6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D3FA875" w14:textId="77777777" w:rsidR="004E75BC" w:rsidRDefault="004E75BC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58981E39" w14:textId="71008D75" w:rsidR="004B1FF6" w:rsidRPr="004E75BC" w:rsidRDefault="004B1FF6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 w:rsidRPr="004E75BC">
              <w:rPr>
                <w:rFonts w:asciiTheme="majorHAnsi" w:hAnsiTheme="majorHAnsi" w:cstheme="majorHAnsi"/>
              </w:rPr>
              <w:t>М.П.</w:t>
            </w:r>
            <w:r w:rsidRPr="004E75BC">
              <w:rPr>
                <w:rFonts w:asciiTheme="majorHAnsi" w:hAnsiTheme="majorHAnsi" w:cstheme="majorHAnsi"/>
                <w:color w:val="808080"/>
              </w:rPr>
              <w:t xml:space="preserve">   </w:t>
            </w:r>
          </w:p>
        </w:tc>
        <w:tc>
          <w:tcPr>
            <w:tcW w:w="5098" w:type="dxa"/>
            <w:vAlign w:val="center"/>
          </w:tcPr>
          <w:p w14:paraId="5ECC5A0E" w14:textId="77777777" w:rsidR="004B1FF6" w:rsidRPr="004E75BC" w:rsidRDefault="004B1FF6" w:rsidP="004E75BC">
            <w:pPr>
              <w:tabs>
                <w:tab w:val="left" w:pos="7410"/>
              </w:tabs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6B407A72" w14:textId="16AE94F4" w:rsidR="004B1FF6" w:rsidRPr="004E75BC" w:rsidRDefault="004B1FF6" w:rsidP="004E75BC">
      <w:pPr>
        <w:tabs>
          <w:tab w:val="left" w:pos="7410"/>
        </w:tabs>
        <w:spacing w:after="0" w:line="240" w:lineRule="auto"/>
        <w:jc w:val="right"/>
        <w:rPr>
          <w:rFonts w:asciiTheme="majorHAnsi" w:hAnsiTheme="majorHAnsi" w:cstheme="majorHAnsi"/>
          <w:b/>
        </w:rPr>
      </w:pPr>
    </w:p>
    <w:sectPr w:rsidR="004B1FF6" w:rsidRPr="004E75BC" w:rsidSect="004E75BC">
      <w:headerReference w:type="default" r:id="rId7"/>
      <w:footerReference w:type="default" r:id="rId8"/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B5A47" w14:textId="77777777" w:rsidR="00000D4F" w:rsidRDefault="00000D4F" w:rsidP="005C62DC">
      <w:pPr>
        <w:spacing w:after="0" w:line="240" w:lineRule="auto"/>
      </w:pPr>
      <w:r>
        <w:separator/>
      </w:r>
    </w:p>
  </w:endnote>
  <w:endnote w:type="continuationSeparator" w:id="0">
    <w:p w14:paraId="17F87B4E" w14:textId="77777777" w:rsidR="00000D4F" w:rsidRDefault="00000D4F" w:rsidP="005C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D6AB" w14:textId="5604F16C" w:rsidR="00C73FE9" w:rsidRPr="00C73FE9" w:rsidRDefault="00C73FE9">
    <w:pPr>
      <w:pStyle w:val="aa"/>
      <w:rPr>
        <w:sz w:val="18"/>
        <w:szCs w:val="18"/>
      </w:rPr>
    </w:pPr>
    <w:r w:rsidRPr="00C73FE9">
      <w:rPr>
        <w:sz w:val="18"/>
        <w:szCs w:val="18"/>
      </w:rPr>
      <w:t>Экспедитор ____________________</w:t>
    </w:r>
    <w:r>
      <w:rPr>
        <w:sz w:val="18"/>
        <w:szCs w:val="18"/>
      </w:rPr>
      <w:t xml:space="preserve">                                                                                                                           Клиент </w:t>
    </w:r>
    <w:r w:rsidRPr="00C73FE9">
      <w:rPr>
        <w:sz w:val="18"/>
        <w:szCs w:val="18"/>
      </w:rPr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F3D1" w14:textId="77777777" w:rsidR="00000D4F" w:rsidRDefault="00000D4F" w:rsidP="005C62DC">
      <w:pPr>
        <w:spacing w:after="0" w:line="240" w:lineRule="auto"/>
      </w:pPr>
      <w:r>
        <w:separator/>
      </w:r>
    </w:p>
  </w:footnote>
  <w:footnote w:type="continuationSeparator" w:id="0">
    <w:p w14:paraId="394D45ED" w14:textId="77777777" w:rsidR="00000D4F" w:rsidRDefault="00000D4F" w:rsidP="005C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77F4" w14:textId="1A9FFB6E" w:rsidR="007B0A34" w:rsidRPr="00825BF2" w:rsidRDefault="00113AAB" w:rsidP="00825BF2">
    <w:pPr>
      <w:pStyle w:val="a8"/>
      <w:ind w:right="-284"/>
      <w:jc w:val="right"/>
      <w:rPr>
        <w:noProof/>
        <w:lang w:bidi="he-IL"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 wp14:anchorId="067D6DA7" wp14:editId="792BD1D5">
          <wp:simplePos x="0" y="0"/>
          <wp:positionH relativeFrom="margin">
            <wp:posOffset>2059305</wp:posOffset>
          </wp:positionH>
          <wp:positionV relativeFrom="paragraph">
            <wp:posOffset>-208280</wp:posOffset>
          </wp:positionV>
          <wp:extent cx="2311400" cy="504825"/>
          <wp:effectExtent l="0" t="0" r="0" b="9525"/>
          <wp:wrapTopAndBottom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4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5F5"/>
    <w:multiLevelType w:val="multilevel"/>
    <w:tmpl w:val="A35E0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1440"/>
      </w:pPr>
      <w:rPr>
        <w:rFonts w:hint="default"/>
      </w:rPr>
    </w:lvl>
  </w:abstractNum>
  <w:abstractNum w:abstractNumId="1" w15:restartNumberingAfterBreak="0">
    <w:nsid w:val="05901865"/>
    <w:multiLevelType w:val="multilevel"/>
    <w:tmpl w:val="28A6B21E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698" w:hanging="72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058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4058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058" w:hanging="108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418" w:hanging="1440"/>
      </w:pPr>
      <w:rPr>
        <w:rFonts w:hint="default"/>
        <w:u w:val="none"/>
      </w:rPr>
    </w:lvl>
  </w:abstractNum>
  <w:abstractNum w:abstractNumId="2" w15:restartNumberingAfterBreak="0">
    <w:nsid w:val="06FE5FC1"/>
    <w:multiLevelType w:val="singleLevel"/>
    <w:tmpl w:val="642078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4F0884"/>
    <w:multiLevelType w:val="multilevel"/>
    <w:tmpl w:val="C49E8D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1F163581"/>
    <w:multiLevelType w:val="multilevel"/>
    <w:tmpl w:val="8DB4D6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ED4162"/>
    <w:multiLevelType w:val="multilevel"/>
    <w:tmpl w:val="FA647DBA"/>
    <w:lvl w:ilvl="0">
      <w:start w:val="4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9EE41C3"/>
    <w:multiLevelType w:val="multilevel"/>
    <w:tmpl w:val="321233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0E17682"/>
    <w:multiLevelType w:val="hybridMultilevel"/>
    <w:tmpl w:val="22FC7296"/>
    <w:lvl w:ilvl="0" w:tplc="6B702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649B7A">
      <w:numFmt w:val="none"/>
      <w:lvlText w:val=""/>
      <w:lvlJc w:val="left"/>
      <w:pPr>
        <w:tabs>
          <w:tab w:val="num" w:pos="360"/>
        </w:tabs>
      </w:pPr>
    </w:lvl>
    <w:lvl w:ilvl="2" w:tplc="1B60AB7C">
      <w:numFmt w:val="none"/>
      <w:lvlText w:val=""/>
      <w:lvlJc w:val="left"/>
      <w:pPr>
        <w:tabs>
          <w:tab w:val="num" w:pos="360"/>
        </w:tabs>
      </w:pPr>
    </w:lvl>
    <w:lvl w:ilvl="3" w:tplc="2C58BC10">
      <w:numFmt w:val="none"/>
      <w:lvlText w:val=""/>
      <w:lvlJc w:val="left"/>
      <w:pPr>
        <w:tabs>
          <w:tab w:val="num" w:pos="360"/>
        </w:tabs>
      </w:pPr>
    </w:lvl>
    <w:lvl w:ilvl="4" w:tplc="6CA2069A">
      <w:numFmt w:val="none"/>
      <w:lvlText w:val=""/>
      <w:lvlJc w:val="left"/>
      <w:pPr>
        <w:tabs>
          <w:tab w:val="num" w:pos="360"/>
        </w:tabs>
      </w:pPr>
    </w:lvl>
    <w:lvl w:ilvl="5" w:tplc="BDAC05CC">
      <w:numFmt w:val="none"/>
      <w:lvlText w:val=""/>
      <w:lvlJc w:val="left"/>
      <w:pPr>
        <w:tabs>
          <w:tab w:val="num" w:pos="360"/>
        </w:tabs>
      </w:pPr>
    </w:lvl>
    <w:lvl w:ilvl="6" w:tplc="B63A5528">
      <w:numFmt w:val="none"/>
      <w:lvlText w:val=""/>
      <w:lvlJc w:val="left"/>
      <w:pPr>
        <w:tabs>
          <w:tab w:val="num" w:pos="360"/>
        </w:tabs>
      </w:pPr>
    </w:lvl>
    <w:lvl w:ilvl="7" w:tplc="563825E8">
      <w:numFmt w:val="none"/>
      <w:lvlText w:val=""/>
      <w:lvlJc w:val="left"/>
      <w:pPr>
        <w:tabs>
          <w:tab w:val="num" w:pos="360"/>
        </w:tabs>
      </w:pPr>
    </w:lvl>
    <w:lvl w:ilvl="8" w:tplc="AA0E778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58C03AE"/>
    <w:multiLevelType w:val="hybridMultilevel"/>
    <w:tmpl w:val="DF24FC9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545929"/>
    <w:multiLevelType w:val="multilevel"/>
    <w:tmpl w:val="74A081C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A8C5EAA"/>
    <w:multiLevelType w:val="multilevel"/>
    <w:tmpl w:val="D61433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sz w:val="24"/>
      </w:rPr>
    </w:lvl>
  </w:abstractNum>
  <w:abstractNum w:abstractNumId="11" w15:restartNumberingAfterBreak="0">
    <w:nsid w:val="3E516A1F"/>
    <w:multiLevelType w:val="multilevel"/>
    <w:tmpl w:val="CAF48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2" w15:restartNumberingAfterBreak="0">
    <w:nsid w:val="40983F4A"/>
    <w:multiLevelType w:val="multilevel"/>
    <w:tmpl w:val="6E70305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28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9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994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056" w:hanging="1440"/>
      </w:pPr>
      <w:rPr>
        <w:rFonts w:cs="Times New Roman" w:hint="default"/>
      </w:rPr>
    </w:lvl>
  </w:abstractNum>
  <w:abstractNum w:abstractNumId="13" w15:restartNumberingAfterBreak="0">
    <w:nsid w:val="40C8062E"/>
    <w:multiLevelType w:val="multilevel"/>
    <w:tmpl w:val="BF20B4E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89" w:hanging="435"/>
      </w:pPr>
      <w:rPr>
        <w:rFonts w:hint="default"/>
        <w:color w:val="auto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color w:val="auto"/>
      </w:rPr>
    </w:lvl>
  </w:abstractNum>
  <w:abstractNum w:abstractNumId="14" w15:restartNumberingAfterBreak="0">
    <w:nsid w:val="44BC2F16"/>
    <w:multiLevelType w:val="multilevel"/>
    <w:tmpl w:val="95E62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5" w15:restartNumberingAfterBreak="0">
    <w:nsid w:val="465E5207"/>
    <w:multiLevelType w:val="multilevel"/>
    <w:tmpl w:val="40602B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A777D47"/>
    <w:multiLevelType w:val="multilevel"/>
    <w:tmpl w:val="C8781C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BA657F2"/>
    <w:multiLevelType w:val="multilevel"/>
    <w:tmpl w:val="318C32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8" w15:restartNumberingAfterBreak="0">
    <w:nsid w:val="4F1E76ED"/>
    <w:multiLevelType w:val="hybridMultilevel"/>
    <w:tmpl w:val="9FF4D13E"/>
    <w:lvl w:ilvl="0" w:tplc="8A92A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56691A"/>
    <w:multiLevelType w:val="hybridMultilevel"/>
    <w:tmpl w:val="2E306766"/>
    <w:lvl w:ilvl="0" w:tplc="0419000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D101F3"/>
    <w:multiLevelType w:val="multilevel"/>
    <w:tmpl w:val="DA0806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20" w:hanging="1440"/>
      </w:pPr>
      <w:rPr>
        <w:rFonts w:hint="default"/>
      </w:rPr>
    </w:lvl>
  </w:abstractNum>
  <w:abstractNum w:abstractNumId="21" w15:restartNumberingAfterBreak="0">
    <w:nsid w:val="54476A3D"/>
    <w:multiLevelType w:val="multilevel"/>
    <w:tmpl w:val="5DAC10CE"/>
    <w:lvl w:ilvl="0">
      <w:start w:val="4"/>
      <w:numFmt w:val="decimal"/>
      <w:lvlText w:val="%1"/>
      <w:lvlJc w:val="left"/>
      <w:pPr>
        <w:ind w:left="93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81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0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85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69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89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30" w:hanging="1440"/>
      </w:pPr>
      <w:rPr>
        <w:rFonts w:hint="default"/>
        <w:color w:val="auto"/>
      </w:rPr>
    </w:lvl>
  </w:abstractNum>
  <w:abstractNum w:abstractNumId="22" w15:restartNumberingAfterBreak="0">
    <w:nsid w:val="55067C4D"/>
    <w:multiLevelType w:val="hybridMultilevel"/>
    <w:tmpl w:val="15CE002E"/>
    <w:lvl w:ilvl="0" w:tplc="8B6654A8">
      <w:start w:val="3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3" w15:restartNumberingAfterBreak="0">
    <w:nsid w:val="5E1E67C3"/>
    <w:multiLevelType w:val="multilevel"/>
    <w:tmpl w:val="BEAC53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5" w:hanging="40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24" w15:restartNumberingAfterBreak="0">
    <w:nsid w:val="682B0E67"/>
    <w:multiLevelType w:val="multilevel"/>
    <w:tmpl w:val="845EB2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68427307"/>
    <w:multiLevelType w:val="multilevel"/>
    <w:tmpl w:val="49F2598A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56" w:hanging="1440"/>
      </w:pPr>
      <w:rPr>
        <w:rFonts w:hint="default"/>
      </w:rPr>
    </w:lvl>
  </w:abstractNum>
  <w:abstractNum w:abstractNumId="26" w15:restartNumberingAfterBreak="0">
    <w:nsid w:val="6BEE6458"/>
    <w:multiLevelType w:val="multilevel"/>
    <w:tmpl w:val="3CC6E1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</w:rPr>
    </w:lvl>
  </w:abstractNum>
  <w:abstractNum w:abstractNumId="27" w15:restartNumberingAfterBreak="0">
    <w:nsid w:val="6CC520CE"/>
    <w:multiLevelType w:val="multilevel"/>
    <w:tmpl w:val="4C1C4E6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D103B20"/>
    <w:multiLevelType w:val="multilevel"/>
    <w:tmpl w:val="DA90588C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num w:numId="1">
    <w:abstractNumId w:val="0"/>
  </w:num>
  <w:num w:numId="2">
    <w:abstractNumId w:val="26"/>
  </w:num>
  <w:num w:numId="3">
    <w:abstractNumId w:val="23"/>
  </w:num>
  <w:num w:numId="4">
    <w:abstractNumId w:val="1"/>
  </w:num>
  <w:num w:numId="5">
    <w:abstractNumId w:val="3"/>
  </w:num>
  <w:num w:numId="6">
    <w:abstractNumId w:val="27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16"/>
  </w:num>
  <w:num w:numId="12">
    <w:abstractNumId w:val="24"/>
  </w:num>
  <w:num w:numId="13">
    <w:abstractNumId w:val="4"/>
  </w:num>
  <w:num w:numId="14">
    <w:abstractNumId w:val="15"/>
  </w:num>
  <w:num w:numId="15">
    <w:abstractNumId w:val="28"/>
  </w:num>
  <w:num w:numId="16">
    <w:abstractNumId w:val="11"/>
  </w:num>
  <w:num w:numId="17">
    <w:abstractNumId w:val="6"/>
  </w:num>
  <w:num w:numId="18">
    <w:abstractNumId w:val="17"/>
  </w:num>
  <w:num w:numId="19">
    <w:abstractNumId w:val="12"/>
  </w:num>
  <w:num w:numId="20">
    <w:abstractNumId w:val="14"/>
  </w:num>
  <w:num w:numId="21">
    <w:abstractNumId w:val="22"/>
  </w:num>
  <w:num w:numId="22">
    <w:abstractNumId w:val="25"/>
  </w:num>
  <w:num w:numId="23">
    <w:abstractNumId w:val="18"/>
  </w:num>
  <w:num w:numId="24">
    <w:abstractNumId w:val="20"/>
  </w:num>
  <w:num w:numId="25">
    <w:abstractNumId w:val="21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60"/>
    <w:rsid w:val="00000D4F"/>
    <w:rsid w:val="0001261C"/>
    <w:rsid w:val="00110280"/>
    <w:rsid w:val="00113AAB"/>
    <w:rsid w:val="002B1325"/>
    <w:rsid w:val="003307F3"/>
    <w:rsid w:val="004B1FF6"/>
    <w:rsid w:val="004E75BC"/>
    <w:rsid w:val="005B7028"/>
    <w:rsid w:val="005C62DC"/>
    <w:rsid w:val="006B5588"/>
    <w:rsid w:val="00764526"/>
    <w:rsid w:val="009449FC"/>
    <w:rsid w:val="00950555"/>
    <w:rsid w:val="00C73FE9"/>
    <w:rsid w:val="00C92AE7"/>
    <w:rsid w:val="00EA7649"/>
    <w:rsid w:val="00FA5960"/>
    <w:rsid w:val="00FE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370F712"/>
  <w15:chartTrackingRefBased/>
  <w15:docId w15:val="{0C362594-2B72-4686-A034-8263A4F2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A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2AE7"/>
    <w:pPr>
      <w:spacing w:after="0" w:line="240" w:lineRule="auto"/>
    </w:pPr>
    <w:rPr>
      <w:rFonts w:ascii="Arial" w:hAnsi="Arial"/>
      <w:sz w:val="24"/>
      <w:szCs w:val="20"/>
      <w:lang w:val="x-none" w:eastAsia="x-none" w:bidi="he-IL"/>
    </w:rPr>
  </w:style>
  <w:style w:type="character" w:customStyle="1" w:styleId="a4">
    <w:name w:val="Основной текст Знак"/>
    <w:basedOn w:val="a0"/>
    <w:link w:val="a3"/>
    <w:rsid w:val="00C92AE7"/>
    <w:rPr>
      <w:rFonts w:ascii="Arial" w:eastAsia="Times New Roman" w:hAnsi="Arial" w:cs="Times New Roman"/>
      <w:sz w:val="24"/>
      <w:szCs w:val="20"/>
      <w:lang w:val="x-none" w:eastAsia="x-none" w:bidi="he-IL"/>
    </w:rPr>
  </w:style>
  <w:style w:type="character" w:styleId="a5">
    <w:name w:val="Hyperlink"/>
    <w:rsid w:val="00C92AE7"/>
    <w:rPr>
      <w:color w:val="0000FF"/>
      <w:u w:val="single"/>
    </w:rPr>
  </w:style>
  <w:style w:type="paragraph" w:customStyle="1" w:styleId="ConsNormal">
    <w:name w:val="ConsNormal"/>
    <w:rsid w:val="00C92AE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C92AE7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a7">
    <w:name w:val="Emphasis"/>
    <w:qFormat/>
    <w:rsid w:val="00C92AE7"/>
    <w:rPr>
      <w:i/>
      <w:iCs/>
    </w:rPr>
  </w:style>
  <w:style w:type="paragraph" w:styleId="a8">
    <w:name w:val="header"/>
    <w:basedOn w:val="a"/>
    <w:link w:val="a9"/>
    <w:uiPriority w:val="99"/>
    <w:unhideWhenUsed/>
    <w:rsid w:val="00C9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2AE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nhideWhenUsed/>
    <w:rsid w:val="00C92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92AE7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92AE7"/>
    <w:pPr>
      <w:spacing w:after="0" w:line="240" w:lineRule="auto"/>
    </w:pPr>
    <w:rPr>
      <w:rFonts w:ascii="Tahoma" w:hAnsi="Tahoma"/>
      <w:sz w:val="16"/>
      <w:szCs w:val="16"/>
      <w:lang w:val="x-none" w:eastAsia="x-none" w:bidi="he-IL"/>
    </w:rPr>
  </w:style>
  <w:style w:type="character" w:customStyle="1" w:styleId="ad">
    <w:name w:val="Текст выноски Знак"/>
    <w:basedOn w:val="a0"/>
    <w:link w:val="ac"/>
    <w:uiPriority w:val="99"/>
    <w:semiHidden/>
    <w:rsid w:val="00C92AE7"/>
    <w:rPr>
      <w:rFonts w:ascii="Tahoma" w:eastAsia="Times New Roman" w:hAnsi="Tahoma" w:cs="Times New Roman"/>
      <w:sz w:val="16"/>
      <w:szCs w:val="16"/>
      <w:lang w:val="x-none" w:eastAsia="x-none" w:bidi="he-IL"/>
    </w:rPr>
  </w:style>
  <w:style w:type="paragraph" w:styleId="ae">
    <w:name w:val="List Paragraph"/>
    <w:basedOn w:val="a"/>
    <w:uiPriority w:val="34"/>
    <w:qFormat/>
    <w:rsid w:val="00C92AE7"/>
    <w:pPr>
      <w:ind w:left="720"/>
      <w:contextualSpacing/>
    </w:pPr>
  </w:style>
  <w:style w:type="paragraph" w:styleId="af">
    <w:name w:val="Body Text Indent"/>
    <w:basedOn w:val="a"/>
    <w:link w:val="af0"/>
    <w:rsid w:val="00C92AE7"/>
    <w:pPr>
      <w:spacing w:after="120" w:line="240" w:lineRule="auto"/>
      <w:ind w:left="283"/>
    </w:pPr>
    <w:rPr>
      <w:rFonts w:ascii="Arial" w:hAnsi="Arial"/>
      <w:sz w:val="24"/>
      <w:szCs w:val="20"/>
      <w:lang w:val="x-none" w:eastAsia="en-GB" w:bidi="he-IL"/>
    </w:rPr>
  </w:style>
  <w:style w:type="character" w:customStyle="1" w:styleId="af0">
    <w:name w:val="Основной текст с отступом Знак"/>
    <w:basedOn w:val="a0"/>
    <w:link w:val="af"/>
    <w:rsid w:val="00C92AE7"/>
    <w:rPr>
      <w:rFonts w:ascii="Arial" w:eastAsia="Times New Roman" w:hAnsi="Arial" w:cs="Times New Roman"/>
      <w:sz w:val="24"/>
      <w:szCs w:val="20"/>
      <w:lang w:val="x-none" w:eastAsia="en-GB" w:bidi="he-IL"/>
    </w:rPr>
  </w:style>
  <w:style w:type="character" w:styleId="af1">
    <w:name w:val="annotation reference"/>
    <w:uiPriority w:val="99"/>
    <w:semiHidden/>
    <w:unhideWhenUsed/>
    <w:rsid w:val="00C92AE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92AE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92AE7"/>
    <w:rPr>
      <w:rFonts w:ascii="Calibri" w:eastAsia="Times New Roman" w:hAnsi="Calibri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92AE7"/>
    <w:rPr>
      <w:b/>
      <w:bCs/>
      <w:lang w:val="x-none" w:eastAsia="x-none" w:bidi="he-IL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92AE7"/>
    <w:rPr>
      <w:rFonts w:ascii="Calibri" w:eastAsia="Times New Roman" w:hAnsi="Calibri" w:cs="Times New Roman"/>
      <w:b/>
      <w:bCs/>
      <w:sz w:val="20"/>
      <w:szCs w:val="20"/>
      <w:lang w:val="x-none" w:eastAsia="x-none" w:bidi="he-IL"/>
    </w:rPr>
  </w:style>
  <w:style w:type="character" w:styleId="af6">
    <w:name w:val="Unresolved Mention"/>
    <w:uiPriority w:val="99"/>
    <w:semiHidden/>
    <w:unhideWhenUsed/>
    <w:rsid w:val="00C92AE7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6B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Pak</dc:creator>
  <cp:keywords/>
  <dc:description/>
  <cp:lastModifiedBy>Oleg Pak</cp:lastModifiedBy>
  <cp:revision>14</cp:revision>
  <dcterms:created xsi:type="dcterms:W3CDTF">2023-03-01T14:05:00Z</dcterms:created>
  <dcterms:modified xsi:type="dcterms:W3CDTF">2023-03-24T12:38:00Z</dcterms:modified>
</cp:coreProperties>
</file>